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6840" w:h="11910" w:orient="landscape"/>
          <w:pgMar w:top="320" w:bottom="280" w:left="620" w:right="540"/>
        </w:sectPr>
      </w:pPr>
    </w:p>
    <w:p>
      <w:pPr>
        <w:spacing w:before="93"/>
        <w:ind w:left="0" w:right="38" w:firstLine="0"/>
        <w:jc w:val="right"/>
        <w:rPr>
          <w:rFonts w:ascii="Arial"/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024">
            <wp:simplePos x="0" y="0"/>
            <wp:positionH relativeFrom="page">
              <wp:posOffset>914400</wp:posOffset>
            </wp:positionH>
            <wp:positionV relativeFrom="paragraph">
              <wp:posOffset>-408077</wp:posOffset>
            </wp:positionV>
            <wp:extent cx="1962150" cy="71882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2"/>
        </w:rPr>
        <w:t>Bilag 4.1 | Tids- og Bemandingsplan -</w:t>
      </w:r>
    </w:p>
    <w:p>
      <w:pPr>
        <w:pStyle w:val="BodyText"/>
        <w:spacing w:before="94"/>
        <w:ind w:left="820"/>
      </w:pPr>
      <w:r>
        <w:rPr/>
        <w:br w:type="column"/>
      </w:r>
      <w:r>
        <w:rPr/>
        <w:t>Klik her for at angive tekst.</w:t>
      </w:r>
    </w:p>
    <w:p>
      <w:pPr>
        <w:pStyle w:val="BodyText"/>
        <w:spacing w:before="3"/>
        <w:ind w:left="1636"/>
        <w:rPr>
          <w:rFonts w:ascii="Arial"/>
        </w:rPr>
      </w:pPr>
      <w:r>
        <w:rPr/>
        <w:pict>
          <v:group style="position:absolute;margin-left:628.359985pt;margin-top:-14.692148pt;width:48.25pt;height:14.55pt;mso-position-horizontal-relative:page;mso-position-vertical-relative:paragraph;z-index:1072" coordorigin="12567,-294" coordsize="965,291">
            <v:shape style="position:absolute;left:12578;top:-284;width:944;height:270" coordorigin="12578,-283" coordsize="944,270" path="m13521,-283l12624,-283,12616,-276,12616,-273,12612,-269,12612,-266,12609,-264,12609,-261,12604,-257,12604,-254,12602,-252,12602,-249,12600,-247,12600,-245,12597,-242,12597,-237,12595,-235,12595,-233,12592,-230,12592,-225,12590,-223,12590,-218,12588,-216,12588,-211,12585,-209,12585,-201,12583,-199,12583,-189,12580,-187,12580,-173,12578,-170,12578,-127,12580,-125,12580,-110,12583,-108,12583,-98,12585,-96,12585,-89,12588,-86,12588,-81,12590,-79,12590,-74,12592,-72,12592,-67,12595,-65,12595,-62,12597,-60,12597,-55,12600,-52,12600,-50,12602,-47,12602,-45,12604,-43,12604,-40,12609,-35,12609,-33,12612,-31,12612,-28,12616,-23,12616,-21,12624,-14,13521,-14,13514,-21,13514,-23,13509,-28,13509,-31,13507,-33,13507,-35,13502,-40,13502,-43,13500,-45,13500,-47,13497,-50,13497,-52,13495,-55,13495,-60,13492,-62,13492,-65,13490,-67,13490,-72,13488,-74,13488,-79,13485,-81,13485,-86,13483,-89,13483,-96,13480,-98,13480,-108,13478,-110,13478,-125,13476,-127,13476,-170,13478,-173,13478,-187,13480,-189,13480,-199,13483,-201,13483,-209,13485,-211,13485,-216,13488,-218,13488,-223,13490,-225,13490,-230,13492,-233,13492,-235,13495,-237,13495,-242,13497,-245,13497,-247,13500,-249,13500,-252,13502,-254,13502,-257,13507,-261,13507,-264,13509,-266,13509,-269,13514,-273,13514,-276,13521,-283xe" filled="true" fillcolor="#ffcccc" stroked="false">
              <v:path arrowok="t"/>
              <v:fill type="solid"/>
            </v:shape>
            <v:shape style="position:absolute;left:12578;top:-284;width:944;height:270" coordorigin="12578,-283" coordsize="944,270" path="m12624,-14l12621,-16,12619,-19,12616,-21,12616,-23,12614,-26,12612,-28,12612,-31,12609,-33,12609,-35,12607,-38,12604,-40,12604,-43,12602,-45,12602,-47,12600,-50,12600,-52,12597,-55,12597,-57,12597,-60,12595,-62,12595,-65,12592,-67,12592,-69,12592,-72,12590,-74,12590,-77,12590,-79,12588,-81,12588,-84,12588,-86,12585,-89,12585,-91,12585,-93,12585,-96,12583,-98,12583,-101,12583,-103,12583,-105,12583,-108,12580,-110,12580,-125,12578,-127,12578,-170,12580,-173,12580,-187,12583,-189,12583,-192,12583,-194,12583,-197,12583,-199,12585,-201,12585,-204,12585,-206,12585,-209,12588,-211,12588,-213,12588,-216,12590,-218,12590,-221,12590,-223,12592,-225,12592,-228,12592,-230,12595,-233,12595,-235,12597,-237,12597,-240,12597,-242,12600,-245,12600,-247,12602,-249,12602,-252,12604,-254,12604,-257,12607,-259,12609,-261,12609,-264,12612,-266,12612,-269,12614,-271,12616,-273,12616,-276,12619,-278,12621,-281,12624,-283,13521,-283,13519,-281,13516,-278,13514,-276,13514,-273,13512,-271,13509,-269,13509,-266,13507,-264,13507,-261,13504,-259,13502,-257,13502,-254,13500,-252,13500,-249,13497,-247,13497,-245,13495,-242,13495,-240,13495,-237,13492,-235,13492,-233,13490,-230,13490,-228,13490,-225,13488,-223,13488,-221,13488,-218,13485,-216,13485,-213,13485,-211,13483,-209,13483,-206,13483,-204,13483,-201,13480,-199,13480,-197,13480,-194,13480,-192,13480,-189,13478,-187,13478,-173,13476,-170,13476,-127,13478,-125,13478,-110,13480,-108,13480,-105,13480,-103,13480,-101,13480,-98,13483,-96,13483,-93,13483,-91,13483,-89,13485,-86,13485,-84,13485,-81,13488,-79,13488,-77,13488,-74,13490,-72,13490,-69,13490,-67,13492,-65,13492,-62,13495,-60,13495,-57,13495,-55,13497,-52,13497,-50,13500,-47,13500,-45,13502,-43,13502,-40,13504,-38,13507,-35,13507,-33,13509,-31,13509,-28,13512,-26,13514,-23,13514,-21,13516,-19,13519,-16,13521,-14,12624,-14xe" filled="false" stroked="true" strokeweight="1.08pt" strokecolor="#ff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2612;top:-273;width:863;height:248" type="#_x0000_t202" filled="false" stroked="false">
              <v:textbox inset="0,0,0,0">
                <w:txbxContent>
                  <w:p>
                    <w:pPr>
                      <w:spacing w:before="4"/>
                      <w:ind w:left="100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sz w:val="16"/>
                      </w:rPr>
                      <w:t>Sagsnavn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10118343</wp:posOffset>
            </wp:positionH>
            <wp:positionV relativeFrom="paragraph">
              <wp:posOffset>-186590</wp:posOffset>
            </wp:positionV>
            <wp:extent cx="138937" cy="184657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37" cy="184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</w:rPr>
        <w:t>Dato: XX</w:t>
      </w:r>
      <w:r>
        <w:rPr>
          <w:rFonts w:ascii="Arial"/>
          <w:color w:val="FF0000"/>
        </w:rPr>
        <w:t>.</w:t>
      </w:r>
      <w:r>
        <w:rPr>
          <w:rFonts w:ascii="Arial"/>
        </w:rPr>
        <w:t>XX</w:t>
      </w:r>
      <w:r>
        <w:rPr>
          <w:rFonts w:ascii="Arial"/>
          <w:color w:val="FF0000"/>
        </w:rPr>
        <w:t>.</w:t>
      </w:r>
      <w:r>
        <w:rPr>
          <w:rFonts w:ascii="Arial"/>
        </w:rPr>
        <w:t>20XX</w:t>
      </w:r>
    </w:p>
    <w:p>
      <w:pPr>
        <w:spacing w:after="0"/>
        <w:rPr>
          <w:rFonts w:ascii="Arial"/>
        </w:rPr>
        <w:sectPr>
          <w:type w:val="continuous"/>
          <w:pgSz w:w="16840" w:h="11910" w:orient="landscape"/>
          <w:pgMar w:top="320" w:bottom="280" w:left="620" w:right="540"/>
          <w:cols w:num="2" w:equalWidth="0">
            <w:col w:w="11877" w:space="207"/>
            <w:col w:w="3596"/>
          </w:cols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8"/>
        <w:rPr>
          <w:rFonts w:ascii="Arial"/>
          <w:sz w:val="16"/>
        </w:rPr>
      </w:pPr>
    </w:p>
    <w:tbl>
      <w:tblPr>
        <w:tblW w:w="0" w:type="auto"/>
        <w:jc w:val="left"/>
        <w:tblInd w:w="14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2781"/>
        <w:gridCol w:w="441"/>
        <w:gridCol w:w="442"/>
        <w:gridCol w:w="441"/>
        <w:gridCol w:w="441"/>
        <w:gridCol w:w="441"/>
        <w:gridCol w:w="443"/>
        <w:gridCol w:w="441"/>
        <w:gridCol w:w="441"/>
        <w:gridCol w:w="268"/>
        <w:gridCol w:w="172"/>
        <w:gridCol w:w="441"/>
        <w:gridCol w:w="441"/>
        <w:gridCol w:w="443"/>
        <w:gridCol w:w="441"/>
        <w:gridCol w:w="441"/>
        <w:gridCol w:w="441"/>
        <w:gridCol w:w="441"/>
        <w:gridCol w:w="441"/>
        <w:gridCol w:w="444"/>
        <w:gridCol w:w="441"/>
        <w:gridCol w:w="441"/>
        <w:gridCol w:w="441"/>
        <w:gridCol w:w="441"/>
        <w:gridCol w:w="441"/>
        <w:gridCol w:w="443"/>
        <w:gridCol w:w="441"/>
        <w:gridCol w:w="386"/>
      </w:tblGrid>
      <w:tr>
        <w:trPr>
          <w:trHeight w:val="521" w:hRule="atLeast"/>
        </w:trPr>
        <w:tc>
          <w:tcPr>
            <w:tcW w:w="15411" w:type="dxa"/>
            <w:gridSpan w:val="29"/>
            <w:shd w:val="clear" w:color="auto" w:fill="E4E4E4"/>
          </w:tcPr>
          <w:p>
            <w:pPr>
              <w:pStyle w:val="TableParagraph"/>
              <w:spacing w:before="161"/>
              <w:ind w:left="54"/>
              <w:rPr>
                <w:b/>
                <w:sz w:val="18"/>
              </w:rPr>
            </w:pPr>
            <w:r>
              <w:rPr>
                <w:b/>
                <w:sz w:val="18"/>
              </w:rPr>
              <w:t>4.1 Byggepladsens tids- og bemandingsplan inkl. sikkerhed og sundhed</w:t>
            </w:r>
          </w:p>
        </w:tc>
      </w:tr>
      <w:tr>
        <w:trPr>
          <w:trHeight w:val="370" w:hRule="atLeast"/>
        </w:trPr>
        <w:tc>
          <w:tcPr>
            <w:tcW w:w="121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2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Fag</w:t>
            </w:r>
          </w:p>
        </w:tc>
        <w:tc>
          <w:tcPr>
            <w:tcW w:w="27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2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Arbejdsområde / uge nr.</w:t>
            </w:r>
          </w:p>
        </w:tc>
        <w:tc>
          <w:tcPr>
            <w:tcW w:w="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7" w:hRule="atLeast"/>
        </w:trPr>
        <w:tc>
          <w:tcPr>
            <w:tcW w:w="12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0" w:hRule="atLeast"/>
        </w:trPr>
        <w:tc>
          <w:tcPr>
            <w:tcW w:w="12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7" w:hRule="atLeast"/>
        </w:trPr>
        <w:tc>
          <w:tcPr>
            <w:tcW w:w="12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0" w:hRule="atLeast"/>
        </w:trPr>
        <w:tc>
          <w:tcPr>
            <w:tcW w:w="12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7" w:hRule="atLeast"/>
        </w:trPr>
        <w:tc>
          <w:tcPr>
            <w:tcW w:w="12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0" w:hRule="atLeast"/>
        </w:trPr>
        <w:tc>
          <w:tcPr>
            <w:tcW w:w="12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7" w:hRule="atLeast"/>
        </w:trPr>
        <w:tc>
          <w:tcPr>
            <w:tcW w:w="12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0" w:hRule="atLeast"/>
        </w:trPr>
        <w:tc>
          <w:tcPr>
            <w:tcW w:w="12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8" w:hRule="atLeast"/>
        </w:trPr>
        <w:tc>
          <w:tcPr>
            <w:tcW w:w="12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0" w:hRule="atLeast"/>
        </w:trPr>
        <w:tc>
          <w:tcPr>
            <w:tcW w:w="12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7" w:hRule="atLeast"/>
        </w:trPr>
        <w:tc>
          <w:tcPr>
            <w:tcW w:w="12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121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9" w:right="92"/>
              <w:rPr>
                <w:sz w:val="14"/>
              </w:rPr>
            </w:pPr>
            <w:r>
              <w:rPr>
                <w:sz w:val="14"/>
              </w:rPr>
              <w:t>Samlet antal beskæftigede på byggepladsen i den pågældende uge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9" w:hRule="atLeast"/>
        </w:trPr>
        <w:tc>
          <w:tcPr>
            <w:tcW w:w="7790" w:type="dxa"/>
            <w:gridSpan w:val="11"/>
            <w:tcBorders>
              <w:left w:val="double" w:sz="1" w:space="0" w:color="000000"/>
              <w:bottom w:val="double" w:sz="1" w:space="0" w:color="000000"/>
              <w:right w:val="single" w:sz="6" w:space="0" w:color="000000"/>
            </w:tcBorders>
            <w:shd w:val="clear" w:color="auto" w:fill="E4E4E4"/>
          </w:tcPr>
          <w:p>
            <w:pPr>
              <w:pStyle w:val="TableParagraph"/>
              <w:spacing w:before="96"/>
              <w:ind w:left="100"/>
              <w:rPr>
                <w:b/>
                <w:sz w:val="14"/>
              </w:rPr>
            </w:pPr>
            <w:r>
              <w:rPr>
                <w:b/>
                <w:sz w:val="14"/>
              </w:rPr>
              <w:t>Regelgrundlag, vejledning og gode råd</w:t>
            </w:r>
          </w:p>
        </w:tc>
        <w:tc>
          <w:tcPr>
            <w:tcW w:w="7621" w:type="dxa"/>
            <w:gridSpan w:val="18"/>
            <w:tcBorders>
              <w:left w:val="single" w:sz="6" w:space="0" w:color="000000"/>
              <w:bottom w:val="double" w:sz="1" w:space="0" w:color="000000"/>
              <w:right w:val="double" w:sz="1" w:space="0" w:color="000000"/>
            </w:tcBorders>
            <w:shd w:val="clear" w:color="auto" w:fill="E4E4E4"/>
          </w:tcPr>
          <w:p>
            <w:pPr>
              <w:pStyle w:val="TableParagraph"/>
              <w:spacing w:before="96"/>
              <w:ind w:left="113"/>
              <w:rPr>
                <w:b/>
                <w:sz w:val="14"/>
              </w:rPr>
            </w:pPr>
            <w:r>
              <w:rPr>
                <w:b/>
                <w:sz w:val="14"/>
              </w:rPr>
              <w:t>Vejledning og gode råd</w:t>
            </w:r>
          </w:p>
        </w:tc>
      </w:tr>
      <w:tr>
        <w:trPr>
          <w:trHeight w:val="2161" w:hRule="atLeast"/>
        </w:trPr>
        <w:tc>
          <w:tcPr>
            <w:tcW w:w="7790" w:type="dxa"/>
            <w:gridSpan w:val="11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133"/>
              <w:rPr>
                <w:sz w:val="14"/>
              </w:rPr>
            </w:pPr>
            <w:r>
              <w:rPr>
                <w:sz w:val="14"/>
              </w:rPr>
              <w:t>Regelgrundlag er AT-bekendtgørelse nr. 1416 af 27. december 2008 om bygherrens pligter §6 og bilag 3</w:t>
            </w:r>
          </w:p>
          <w:p>
            <w:pPr>
              <w:pStyle w:val="TableParagraph"/>
              <w:spacing w:before="7"/>
              <w:rPr>
                <w:rFonts w:ascii="Arial"/>
                <w:sz w:val="14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1" w:val="left" w:leader="none"/>
              </w:tabs>
              <w:spacing w:line="240" w:lineRule="auto" w:before="0" w:after="0"/>
              <w:ind w:left="100" w:right="443" w:firstLine="33"/>
              <w:jc w:val="left"/>
              <w:rPr>
                <w:sz w:val="14"/>
              </w:rPr>
            </w:pPr>
            <w:r>
              <w:rPr>
                <w:sz w:val="14"/>
              </w:rPr>
              <w:t>I bekendtgørelsen er der i hovedpunkter fastsat hvad byggepladsens tids- og bemandingsplan inkl. sikkerhed og sundhed skal indeholde. Tidsplanen skal indeholde i hvilke perioder, der udføres særlige farlige aktiviteter. Denne plan er væsentlig del af PSS og</w:t>
            </w:r>
            <w:r>
              <w:rPr>
                <w:spacing w:val="-14"/>
                <w:sz w:val="14"/>
              </w:rPr>
              <w:t> </w:t>
            </w:r>
            <w:r>
              <w:rPr>
                <w:sz w:val="14"/>
              </w:rPr>
              <w:t>sikkerhedskoordineringen.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2" w:val="left" w:leader="none"/>
              </w:tabs>
              <w:spacing w:line="240" w:lineRule="auto" w:before="1" w:after="0"/>
              <w:ind w:left="100" w:right="151" w:firstLine="33"/>
              <w:jc w:val="left"/>
              <w:rPr>
                <w:sz w:val="14"/>
              </w:rPr>
            </w:pPr>
            <w:r>
              <w:rPr>
                <w:sz w:val="14"/>
              </w:rPr>
              <w:t>Den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ansvarlige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byggepladsens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tids-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og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bemandingsplanen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inkl.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sikkerhed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og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sundhed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udarbejder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et udkast der udsendes til kommentering hos de involverede aktører på byggepladsen. Tidsplanen vurderes kritisk hvor flere fag skal arbejde samtidig og på samme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sted.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1" w:val="left" w:leader="none"/>
              </w:tabs>
              <w:spacing w:line="240" w:lineRule="auto" w:before="1" w:after="0"/>
              <w:ind w:left="100" w:right="151" w:firstLine="33"/>
              <w:jc w:val="left"/>
              <w:rPr>
                <w:sz w:val="14"/>
              </w:rPr>
            </w:pPr>
            <w:r>
              <w:rPr>
                <w:sz w:val="14"/>
              </w:rPr>
              <w:t>Nødvendige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oplysninger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indsamles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af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ansvarlig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involverede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aktører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(rådgiver,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hovedentreprenør, fag- og underentreprenører eller andre udførende) og disse indarbejdes i den endelige tids- og bemandingsplan.</w:t>
            </w:r>
          </w:p>
        </w:tc>
        <w:tc>
          <w:tcPr>
            <w:tcW w:w="7621" w:type="dxa"/>
            <w:gridSpan w:val="18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02" w:val="left" w:leader="none"/>
              </w:tabs>
              <w:spacing w:line="240" w:lineRule="auto" w:before="10" w:after="0"/>
              <w:ind w:left="113" w:right="71" w:firstLine="0"/>
              <w:jc w:val="both"/>
              <w:rPr>
                <w:sz w:val="14"/>
              </w:rPr>
            </w:pPr>
            <w:r>
              <w:rPr>
                <w:sz w:val="14"/>
              </w:rPr>
              <w:t>Forhold som ikke kan anføres på tids- og bemandingsplanen bør beskrives under 5.2B arbejde i fælles områder og sikkerhedsforanstaltninger, eller 5.2 risikoområder i henhold til projekterendes vurdering og oplysninger.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35" w:val="left" w:leader="none"/>
              </w:tabs>
              <w:spacing w:line="240" w:lineRule="auto" w:before="0" w:after="0"/>
              <w:ind w:left="147" w:right="87" w:firstLine="0"/>
              <w:jc w:val="left"/>
              <w:rPr>
                <w:sz w:val="14"/>
              </w:rPr>
            </w:pPr>
            <w:r>
              <w:rPr>
                <w:sz w:val="14"/>
              </w:rPr>
              <w:t>Hvor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særlige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farlige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aktiviteter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foretages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farvemarkering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eller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anden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mærkning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af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perioden. Markeringen giver de udførende på byggepladsen mulighed for at danne sig et indtryk af hvor og hvornår der evt. kan opstå sikkerheds- og sundhedsmæssige problemer netop i deres arbejdsområde. De udførende kan planlægge egne arbejder efter denne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markering.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35" w:val="left" w:leader="none"/>
              </w:tabs>
              <w:spacing w:line="240" w:lineRule="auto" w:before="0" w:after="0"/>
              <w:ind w:left="147" w:right="175" w:firstLine="0"/>
              <w:jc w:val="left"/>
              <w:rPr>
                <w:sz w:val="14"/>
              </w:rPr>
            </w:pPr>
            <w:r>
              <w:rPr>
                <w:sz w:val="14"/>
              </w:rPr>
              <w:t>Ansvarlig for tids- og bemandingsplanen skal tage stilling til om denne særlige farlige aktivitet danner grundlag for en afspærring af det pågældende arbejdsområde. Dette markeres tydeligt på tids- og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bemandingsplanen.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35" w:val="left" w:leader="none"/>
              </w:tabs>
              <w:spacing w:line="240" w:lineRule="auto" w:before="0" w:after="0"/>
              <w:ind w:left="147" w:right="233" w:firstLine="0"/>
              <w:jc w:val="left"/>
              <w:rPr>
                <w:sz w:val="14"/>
              </w:rPr>
            </w:pPr>
            <w:r>
              <w:rPr>
                <w:sz w:val="14"/>
              </w:rPr>
              <w:t>Eventuelle ændringer til tids- og bemandingsplanen behandles på byggepladsens sikkerhedsmøder. Planen ajourføres og ophænges f.eks. 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skurvognene.</w:t>
            </w:r>
          </w:p>
        </w:tc>
      </w:tr>
    </w:tbl>
    <w:sectPr>
      <w:type w:val="continuous"/>
      <w:pgSz w:w="16840" w:h="11910" w:orient="landscape"/>
      <w:pgMar w:top="320" w:bottom="280" w:left="62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decimal"/>
      <w:lvlText w:val="%1."/>
      <w:lvlJc w:val="left"/>
      <w:pPr>
        <w:ind w:left="113" w:hanging="188"/>
        <w:jc w:val="left"/>
      </w:pPr>
      <w:rPr>
        <w:rFonts w:hint="default" w:ascii="Verdana" w:hAnsi="Verdana" w:eastAsia="Verdana" w:cs="Verdana"/>
        <w:w w:val="99"/>
        <w:sz w:val="14"/>
        <w:szCs w:val="14"/>
        <w:lang w:val="da-DY" w:eastAsia="da-DY" w:bidi="da-DY"/>
      </w:rPr>
    </w:lvl>
    <w:lvl w:ilvl="1">
      <w:start w:val="0"/>
      <w:numFmt w:val="bullet"/>
      <w:lvlText w:val="•"/>
      <w:lvlJc w:val="left"/>
      <w:pPr>
        <w:ind w:left="867" w:hanging="188"/>
      </w:pPr>
      <w:rPr>
        <w:rFonts w:hint="default"/>
        <w:lang w:val="da-DY" w:eastAsia="da-DY" w:bidi="da-DY"/>
      </w:rPr>
    </w:lvl>
    <w:lvl w:ilvl="2">
      <w:start w:val="0"/>
      <w:numFmt w:val="bullet"/>
      <w:lvlText w:val="•"/>
      <w:lvlJc w:val="left"/>
      <w:pPr>
        <w:ind w:left="1615" w:hanging="188"/>
      </w:pPr>
      <w:rPr>
        <w:rFonts w:hint="default"/>
        <w:lang w:val="da-DY" w:eastAsia="da-DY" w:bidi="da-DY"/>
      </w:rPr>
    </w:lvl>
    <w:lvl w:ilvl="3">
      <w:start w:val="0"/>
      <w:numFmt w:val="bullet"/>
      <w:lvlText w:val="•"/>
      <w:lvlJc w:val="left"/>
      <w:pPr>
        <w:ind w:left="2363" w:hanging="188"/>
      </w:pPr>
      <w:rPr>
        <w:rFonts w:hint="default"/>
        <w:lang w:val="da-DY" w:eastAsia="da-DY" w:bidi="da-DY"/>
      </w:rPr>
    </w:lvl>
    <w:lvl w:ilvl="4">
      <w:start w:val="0"/>
      <w:numFmt w:val="bullet"/>
      <w:lvlText w:val="•"/>
      <w:lvlJc w:val="left"/>
      <w:pPr>
        <w:ind w:left="3111" w:hanging="188"/>
      </w:pPr>
      <w:rPr>
        <w:rFonts w:hint="default"/>
        <w:lang w:val="da-DY" w:eastAsia="da-DY" w:bidi="da-DY"/>
      </w:rPr>
    </w:lvl>
    <w:lvl w:ilvl="5">
      <w:start w:val="0"/>
      <w:numFmt w:val="bullet"/>
      <w:lvlText w:val="•"/>
      <w:lvlJc w:val="left"/>
      <w:pPr>
        <w:ind w:left="3859" w:hanging="188"/>
      </w:pPr>
      <w:rPr>
        <w:rFonts w:hint="default"/>
        <w:lang w:val="da-DY" w:eastAsia="da-DY" w:bidi="da-DY"/>
      </w:rPr>
    </w:lvl>
    <w:lvl w:ilvl="6">
      <w:start w:val="0"/>
      <w:numFmt w:val="bullet"/>
      <w:lvlText w:val="•"/>
      <w:lvlJc w:val="left"/>
      <w:pPr>
        <w:ind w:left="4607" w:hanging="188"/>
      </w:pPr>
      <w:rPr>
        <w:rFonts w:hint="default"/>
        <w:lang w:val="da-DY" w:eastAsia="da-DY" w:bidi="da-DY"/>
      </w:rPr>
    </w:lvl>
    <w:lvl w:ilvl="7">
      <w:start w:val="0"/>
      <w:numFmt w:val="bullet"/>
      <w:lvlText w:val="•"/>
      <w:lvlJc w:val="left"/>
      <w:pPr>
        <w:ind w:left="5354" w:hanging="188"/>
      </w:pPr>
      <w:rPr>
        <w:rFonts w:hint="default"/>
        <w:lang w:val="da-DY" w:eastAsia="da-DY" w:bidi="da-DY"/>
      </w:rPr>
    </w:lvl>
    <w:lvl w:ilvl="8">
      <w:start w:val="0"/>
      <w:numFmt w:val="bullet"/>
      <w:lvlText w:val="•"/>
      <w:lvlJc w:val="left"/>
      <w:pPr>
        <w:ind w:left="6102" w:hanging="188"/>
      </w:pPr>
      <w:rPr>
        <w:rFonts w:hint="default"/>
        <w:lang w:val="da-DY" w:eastAsia="da-DY" w:bidi="da-DY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0" w:hanging="188"/>
        <w:jc w:val="left"/>
      </w:pPr>
      <w:rPr>
        <w:rFonts w:hint="default" w:ascii="Verdana" w:hAnsi="Verdana" w:eastAsia="Verdana" w:cs="Verdana"/>
        <w:w w:val="99"/>
        <w:sz w:val="14"/>
        <w:szCs w:val="14"/>
        <w:lang w:val="da-DY" w:eastAsia="da-DY" w:bidi="da-DY"/>
      </w:rPr>
    </w:lvl>
    <w:lvl w:ilvl="1">
      <w:start w:val="0"/>
      <w:numFmt w:val="bullet"/>
      <w:lvlText w:val="•"/>
      <w:lvlJc w:val="left"/>
      <w:pPr>
        <w:ind w:left="866" w:hanging="188"/>
      </w:pPr>
      <w:rPr>
        <w:rFonts w:hint="default"/>
        <w:lang w:val="da-DY" w:eastAsia="da-DY" w:bidi="da-DY"/>
      </w:rPr>
    </w:lvl>
    <w:lvl w:ilvl="2">
      <w:start w:val="0"/>
      <w:numFmt w:val="bullet"/>
      <w:lvlText w:val="•"/>
      <w:lvlJc w:val="left"/>
      <w:pPr>
        <w:ind w:left="1633" w:hanging="188"/>
      </w:pPr>
      <w:rPr>
        <w:rFonts w:hint="default"/>
        <w:lang w:val="da-DY" w:eastAsia="da-DY" w:bidi="da-DY"/>
      </w:rPr>
    </w:lvl>
    <w:lvl w:ilvl="3">
      <w:start w:val="0"/>
      <w:numFmt w:val="bullet"/>
      <w:lvlText w:val="•"/>
      <w:lvlJc w:val="left"/>
      <w:pPr>
        <w:ind w:left="2400" w:hanging="188"/>
      </w:pPr>
      <w:rPr>
        <w:rFonts w:hint="default"/>
        <w:lang w:val="da-DY" w:eastAsia="da-DY" w:bidi="da-DY"/>
      </w:rPr>
    </w:lvl>
    <w:lvl w:ilvl="4">
      <w:start w:val="0"/>
      <w:numFmt w:val="bullet"/>
      <w:lvlText w:val="•"/>
      <w:lvlJc w:val="left"/>
      <w:pPr>
        <w:ind w:left="3167" w:hanging="188"/>
      </w:pPr>
      <w:rPr>
        <w:rFonts w:hint="default"/>
        <w:lang w:val="da-DY" w:eastAsia="da-DY" w:bidi="da-DY"/>
      </w:rPr>
    </w:lvl>
    <w:lvl w:ilvl="5">
      <w:start w:val="0"/>
      <w:numFmt w:val="bullet"/>
      <w:lvlText w:val="•"/>
      <w:lvlJc w:val="left"/>
      <w:pPr>
        <w:ind w:left="3933" w:hanging="188"/>
      </w:pPr>
      <w:rPr>
        <w:rFonts w:hint="default"/>
        <w:lang w:val="da-DY" w:eastAsia="da-DY" w:bidi="da-DY"/>
      </w:rPr>
    </w:lvl>
    <w:lvl w:ilvl="6">
      <w:start w:val="0"/>
      <w:numFmt w:val="bullet"/>
      <w:lvlText w:val="•"/>
      <w:lvlJc w:val="left"/>
      <w:pPr>
        <w:ind w:left="4700" w:hanging="188"/>
      </w:pPr>
      <w:rPr>
        <w:rFonts w:hint="default"/>
        <w:lang w:val="da-DY" w:eastAsia="da-DY" w:bidi="da-DY"/>
      </w:rPr>
    </w:lvl>
    <w:lvl w:ilvl="7">
      <w:start w:val="0"/>
      <w:numFmt w:val="bullet"/>
      <w:lvlText w:val="•"/>
      <w:lvlJc w:val="left"/>
      <w:pPr>
        <w:ind w:left="5467" w:hanging="188"/>
      </w:pPr>
      <w:rPr>
        <w:rFonts w:hint="default"/>
        <w:lang w:val="da-DY" w:eastAsia="da-DY" w:bidi="da-DY"/>
      </w:rPr>
    </w:lvl>
    <w:lvl w:ilvl="8">
      <w:start w:val="0"/>
      <w:numFmt w:val="bullet"/>
      <w:lvlText w:val="•"/>
      <w:lvlJc w:val="left"/>
      <w:pPr>
        <w:ind w:left="6234" w:hanging="188"/>
      </w:pPr>
      <w:rPr>
        <w:rFonts w:hint="default"/>
        <w:lang w:val="da-DY" w:eastAsia="da-DY" w:bidi="da-DY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da-DY" w:eastAsia="da-DY" w:bidi="da-DY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da-DY" w:eastAsia="da-DY" w:bidi="da-DY"/>
    </w:rPr>
  </w:style>
  <w:style w:styleId="ListParagraph" w:type="paragraph">
    <w:name w:val="List Paragraph"/>
    <w:basedOn w:val="Normal"/>
    <w:uiPriority w:val="1"/>
    <w:qFormat/>
    <w:pPr/>
    <w:rPr>
      <w:lang w:val="da-DY" w:eastAsia="da-DY" w:bidi="da-DY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da-DY" w:eastAsia="da-DY" w:bidi="da-DY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2019-06-21T08:28:44Z</dcterms:created>
  <dcterms:modified xsi:type="dcterms:W3CDTF">2019-06-21T08:28:44Z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LastSaved">
    <vt:filetime>2019-06-21T00:00:00Z</vt:filetime>
  </property>
</Properties>
</file>